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2C463" w14:textId="77777777" w:rsidR="00F73AD0" w:rsidRPr="00F32B4C" w:rsidRDefault="006A34B6" w:rsidP="00F32B4C">
      <w:pPr>
        <w:tabs>
          <w:tab w:val="left" w:pos="2100"/>
        </w:tabs>
        <w:rPr>
          <w:rFonts w:ascii="Cambria" w:hAnsi="Cambria"/>
          <w:color w:val="000000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Nazwa zakładu:</w:t>
      </w:r>
      <w:r w:rsidRPr="00F32B4C">
        <w:rPr>
          <w:rFonts w:ascii="Cambria" w:hAnsi="Cambria"/>
          <w:b/>
          <w:color w:val="000000"/>
          <w:sz w:val="22"/>
          <w:szCs w:val="22"/>
        </w:rPr>
        <w:tab/>
        <w:t>P.P.H.U RADEX JOLANTA KULIGOWSKA</w:t>
      </w:r>
    </w:p>
    <w:p w14:paraId="5074E3CE" w14:textId="77777777" w:rsidR="00F73AD0" w:rsidRPr="00F32B4C" w:rsidRDefault="006A34B6" w:rsidP="00F32B4C">
      <w:pPr>
        <w:tabs>
          <w:tab w:val="left" w:pos="2100"/>
        </w:tabs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ab/>
        <w:t>06-500 Mława, ul. Romana Dmowskiego 4</w:t>
      </w:r>
    </w:p>
    <w:p w14:paraId="2F542782" w14:textId="77777777" w:rsidR="00F73AD0" w:rsidRPr="00F32B4C" w:rsidRDefault="00F73AD0" w:rsidP="00F32B4C">
      <w:pPr>
        <w:rPr>
          <w:rFonts w:ascii="Cambria" w:hAnsi="Cambria"/>
          <w:b/>
          <w:color w:val="000000"/>
          <w:sz w:val="22"/>
          <w:szCs w:val="22"/>
        </w:rPr>
      </w:pPr>
    </w:p>
    <w:p w14:paraId="4A7C7F9E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benzenu w sieci receptorów poza terenem zakładu</w:t>
      </w:r>
    </w:p>
    <w:p w14:paraId="25389EA0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36B8268F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082A2BE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54E222B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025AA75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6AD36F4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4C61D8F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60CDF74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5893BCA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189D44FA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51AC0D05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507C672F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4F8F654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4B2CD0D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1153F07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5C3BE4F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00CB76E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17A6A9E2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646BE21E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19CE803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2218872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2205DB9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55C592A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179730D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1E394F5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2C60FFBD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6FD009AE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1B105C7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0,0077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5DB7E54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72E3701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1A4F1A8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67B8E17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3AAD7B5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0C1475F9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203FAE4F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30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460ECC7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40C6BAC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22F97F4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589485B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54DB46F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7B3DC75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07FE9B91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4DA2AF70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jednogodzinnych benzenu występuje w punkcie </w:t>
      </w:r>
      <w:r w:rsidRPr="00F32B4C">
        <w:rPr>
          <w:rFonts w:ascii="Cambria" w:hAnsi="Cambria"/>
          <w:color w:val="000000"/>
          <w:sz w:val="22"/>
          <w:szCs w:val="22"/>
        </w:rPr>
        <w:t>o współrzędnych X = 400 Y = 320 m  i wynosi 0,03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75314A81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7F042980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średniorocznych występuje w punkcie o współrzędnych X = 400 Y = 320 m , wynosi 0,0077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4,5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5DB91067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1FB737D4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węglowodorów alifatycznych w sieci receptorów poza terenem zakładu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4350A30A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4CB3DF16" w14:textId="6F410672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 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2B821C9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3990BA2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004170F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69965EB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48BC367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7781A2D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1BA0449D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078B9293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1082C003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030CE5D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20D95BA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4D9D7ED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2E16F96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426AF0A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1AC539C3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6E75091C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1AEB5B5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521C5FF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259B540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52F2CE8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47EA104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797F113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52CFA599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1B45B732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5C91CC5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0,655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058CA8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495F256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622A409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09FC19A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2771C64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530DCFCC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0310AD56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3000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31D66C0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09FBDDD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1E7AEEB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6D24488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24004F4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3AEDE24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53E9AC6F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46890AAC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jednogodzinnych węglowodorów alifatycznych </w:t>
      </w:r>
      <w:r w:rsidRPr="00F32B4C">
        <w:rPr>
          <w:rFonts w:ascii="Cambria" w:hAnsi="Cambria"/>
          <w:color w:val="000000"/>
          <w:sz w:val="22"/>
          <w:szCs w:val="22"/>
        </w:rPr>
        <w:t>występuje w punkcie o współrzędnych X = 400 Y = 320 m  i wynosi 2,9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126B34FD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35DC92D8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średniorocznych występuje w punkcie o współrzędnych X = 400 </w:t>
      </w:r>
      <w:r w:rsidRPr="00F32B4C">
        <w:rPr>
          <w:rFonts w:ascii="Cambria" w:hAnsi="Cambria"/>
          <w:color w:val="000000"/>
          <w:sz w:val="22"/>
          <w:szCs w:val="22"/>
        </w:rPr>
        <w:t>Y = 320 m , wynosi 0,655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900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69FA4680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416F9B21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pyłu PM-10 w sieci receptorów poza terenem zakładu</w:t>
      </w:r>
    </w:p>
    <w:p w14:paraId="719F19C7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14C3357E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7FACCA7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22E156D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39CDFEF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2EBB9A7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6E223C7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3276B4F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0F0A2F3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5B623D5F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1FE7DFB1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1D7D56A1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C71235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4B65E46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1EF7F99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2A2EFC3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678E5BB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5998A0DE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62D94BF0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45431BA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3A883A2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350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172C6A6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280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1DFB932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57499B9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3DE371F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3A2C341B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4F605A0F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3E6BE37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4C031DC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2E9A66A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7461358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504FC84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1FC3EB7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WNW</w:t>
            </w:r>
          </w:p>
        </w:tc>
      </w:tr>
      <w:tr w:rsidR="00F73AD0" w:rsidRPr="00F32B4C" w14:paraId="42E28BDD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4CD7B26B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280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09E49F1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22B7341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6956BCF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3F9CECD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023686B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00D9E99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081C777F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4720FE2E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jednogodzinnych pyłu PM-10 występuje w </w:t>
      </w:r>
      <w:r w:rsidRPr="00F32B4C">
        <w:rPr>
          <w:rFonts w:ascii="Cambria" w:hAnsi="Cambria"/>
          <w:color w:val="000000"/>
          <w:sz w:val="22"/>
          <w:szCs w:val="22"/>
        </w:rPr>
        <w:t>punkcie o współrzędnych X = 350 Y = 280 m  i wynosi 0,0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57C409A5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16B2DE1A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średniorocznych występuje w punkcie o współrzędnych X = 400 Y = 320 m , wynosi 0,000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36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66FF5925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6D0BC824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dwutlenku siarki w sieci receptorów poza terenem zakładu</w:t>
      </w:r>
    </w:p>
    <w:p w14:paraId="7809F5E6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5FCAC978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312B7D4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6C70F47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445F488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166D5D9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7CAC7D2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004A922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47D55FD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35C5F854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019FED52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6F600567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51BC3D7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3D8F367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3A29D94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7280AB3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4D36437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5D373D8F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06D483CA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Stężenie 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21D0849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577C8FF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350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60ACE10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280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6340EC7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4CBD13F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0CB37FB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4656F710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2B418BFD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0CA4381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130963C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A45F92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19740C8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1412970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2839A40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WNW</w:t>
            </w:r>
          </w:p>
        </w:tc>
      </w:tr>
      <w:tr w:rsidR="00F73AD0" w:rsidRPr="00F32B4C" w14:paraId="67981BA5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1150FC14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350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, 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6AE347E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2C4980E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1AE38CB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269A1E0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017F9CD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17B0757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5169691C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53F2495D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jednogodzinnych dwutlenku siarki występuje w punkcie </w:t>
      </w:r>
      <w:r w:rsidRPr="00F32B4C">
        <w:rPr>
          <w:rFonts w:ascii="Cambria" w:hAnsi="Cambria"/>
          <w:color w:val="000000"/>
          <w:sz w:val="22"/>
          <w:szCs w:val="22"/>
        </w:rPr>
        <w:t>o współrzędnych X = 350 Y = 280 m  i wynosi 0,0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10F547BC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2CCDADB2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średniorocznych występuje w punkcie o współrzędnych X = 400 Y = 320 m , wynosi 0,000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18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698D5A8E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6ED7F211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tlenków azotu w sieci receptorów poza terenem zakładu</w:t>
      </w:r>
    </w:p>
    <w:p w14:paraId="6D6E795F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6FC66491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423333D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4157879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55FA255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78785BB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3C6464A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7275882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21F5DA5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20F7962D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290CFF85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72B35A12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5934CB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5EF1E85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016BE4E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2338E60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58DC92C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46A2D16D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55490F38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Stężenie 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6ED9AD2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2FD3F0B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70C707A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1E7E7E9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75CA714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7269244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7B1BC752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6F491DA2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6302C44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0,002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7C312F3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05ED0CC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720FDFF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6610175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125C545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16992231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73BA8674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200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55C4FF1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017BAF7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010716F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0809A89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7594EB5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6D16968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0BC17C5C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18CC7EA3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jednogodzinnych tlenków azotu występuje w punkcie </w:t>
      </w:r>
      <w:r w:rsidRPr="00F32B4C">
        <w:rPr>
          <w:rFonts w:ascii="Cambria" w:hAnsi="Cambria"/>
          <w:color w:val="000000"/>
          <w:sz w:val="22"/>
          <w:szCs w:val="22"/>
        </w:rPr>
        <w:t>o współrzędnych X = 400 Y = 320 m  i wynosi 0,0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7822E2F1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6D692C70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średniorocznych występuje w punkcie o współrzędnych X = 400 Y = 320 m , wynosi 0,002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27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76DAAC4F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3E115AFF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tlenku węgla w sieci receptorów poza terenem zakładu</w:t>
      </w:r>
    </w:p>
    <w:p w14:paraId="3ADCABB3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2B11209D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3EB3BB4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102591E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0C5B1A5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1E0E6A2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2A0A246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6222F73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72726EC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77BA5376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4B1CE9CC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2F420AE1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13A8366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373CC18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30D907E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1111C53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71C6EE8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2F1E6FC1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4220D791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Stężenie 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00FABFB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2E9910B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412227E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5661807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758AA94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38CE44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76BDA4F9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3DB21189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7357871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0,006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7FE7554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8BF547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0F17503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0C6C12D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291A731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3371566B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646ED513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30000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0AF1140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5D9AB12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128BFA9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1F1A4F2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4F5A3C4A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53C7CF8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1E0D21B0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78D2161B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wartość stężeń jednogodzinnych tlenku węgla występuje w punkcie </w:t>
      </w:r>
      <w:r w:rsidRPr="00F32B4C">
        <w:rPr>
          <w:rFonts w:ascii="Cambria" w:hAnsi="Cambria"/>
          <w:color w:val="000000"/>
          <w:sz w:val="22"/>
          <w:szCs w:val="22"/>
        </w:rPr>
        <w:t>o współrzędnych X = 400 Y = 320 m  i wynosi 0,0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2EA6FA5A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56DF21F1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4925ECD2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4EFB1F10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węglowodorów aromatyczne w sieci receptorów poza terenem zakładu</w:t>
      </w:r>
    </w:p>
    <w:p w14:paraId="12E37C70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044D5650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3C297D1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1EB0181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6498400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3FDD566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2948DC6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6B3B2DB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58565D7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5804C40D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25F4DCA2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3DC0F4B7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2E78DD5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DD0D3D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7F5B822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749DAC1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5FE10EE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0EB623AE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49E1F94B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7D25928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25732E8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4ECD5AB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371F197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3F20E06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B4D475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618E6B46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7C838CAB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5DB880B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0,137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0A2FE65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6AA4985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4774D0F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678176A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6CB11C0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2E6E0C34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2FB65823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D1= 1000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, %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01600C4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5CC410A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68BECE99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7B08AE4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1712CCD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4747F42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4ED6FBC9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28862025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 xml:space="preserve">Najwyższa </w:t>
      </w:r>
      <w:r w:rsidRPr="00F32B4C">
        <w:rPr>
          <w:rFonts w:ascii="Cambria" w:hAnsi="Cambria"/>
          <w:color w:val="000000"/>
          <w:sz w:val="22"/>
          <w:szCs w:val="22"/>
        </w:rPr>
        <w:t>wartość stężeń jednogodzinnych węglowodorów aromatyczne występuje w punkcie o współrzędnych X = 400 Y = 320 m  i wynosi 0,6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, wartość ta jest niższa od 0,1*D1 .</w:t>
      </w:r>
    </w:p>
    <w:p w14:paraId="3C8BE1EA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Zerowa częstość przekroczeń stężeń jednogodzinnych.</w:t>
      </w:r>
    </w:p>
    <w:p w14:paraId="5D66A9DE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średniorocznych występuje w punkcie o współrzędnych X = 400 Y = 320 m , wynosi 0,137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38,7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468F9E03" w14:textId="77777777" w:rsidR="00F73AD0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245010B3" w14:textId="77777777" w:rsidR="006A34B6" w:rsidRDefault="006A34B6" w:rsidP="00F32B4C">
      <w:pPr>
        <w:rPr>
          <w:rFonts w:ascii="Cambria" w:hAnsi="Cambria"/>
          <w:color w:val="000000"/>
          <w:sz w:val="22"/>
          <w:szCs w:val="22"/>
        </w:rPr>
      </w:pPr>
    </w:p>
    <w:p w14:paraId="416B15E1" w14:textId="77777777" w:rsidR="006A34B6" w:rsidRDefault="006A34B6" w:rsidP="00F32B4C">
      <w:pPr>
        <w:rPr>
          <w:rFonts w:ascii="Cambria" w:hAnsi="Cambria"/>
          <w:color w:val="000000"/>
          <w:sz w:val="22"/>
          <w:szCs w:val="22"/>
        </w:rPr>
      </w:pPr>
    </w:p>
    <w:p w14:paraId="29691384" w14:textId="77777777" w:rsidR="006A34B6" w:rsidRDefault="006A34B6" w:rsidP="00F32B4C">
      <w:pPr>
        <w:rPr>
          <w:rFonts w:ascii="Cambria" w:hAnsi="Cambria"/>
          <w:color w:val="000000"/>
          <w:sz w:val="22"/>
          <w:szCs w:val="22"/>
        </w:rPr>
      </w:pPr>
    </w:p>
    <w:p w14:paraId="26CB91E4" w14:textId="77777777" w:rsidR="006A34B6" w:rsidRPr="00F32B4C" w:rsidRDefault="006A34B6" w:rsidP="00F32B4C">
      <w:pPr>
        <w:rPr>
          <w:rFonts w:ascii="Cambria" w:hAnsi="Cambria"/>
          <w:color w:val="000000"/>
          <w:sz w:val="22"/>
          <w:szCs w:val="22"/>
        </w:rPr>
      </w:pPr>
    </w:p>
    <w:p w14:paraId="0EADB64E" w14:textId="77777777" w:rsidR="00F73AD0" w:rsidRPr="00F32B4C" w:rsidRDefault="006A34B6" w:rsidP="00F32B4C">
      <w:pPr>
        <w:jc w:val="center"/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>Zestawienie maksymalnych wartości stężeń pyłu zawieszonego PM 2,5 w sieci receptorów poza terenem zakładu</w:t>
      </w:r>
    </w:p>
    <w:p w14:paraId="39378050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b/>
          <w:color w:val="000000"/>
          <w:sz w:val="22"/>
          <w:szCs w:val="22"/>
        </w:rPr>
        <w:t xml:space="preserve"> </w:t>
      </w:r>
    </w:p>
    <w:tbl>
      <w:tblPr>
        <w:tblW w:w="8925" w:type="dxa"/>
        <w:tblInd w:w="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0"/>
        <w:gridCol w:w="1110"/>
        <w:gridCol w:w="930"/>
        <w:gridCol w:w="930"/>
        <w:gridCol w:w="765"/>
        <w:gridCol w:w="765"/>
        <w:gridCol w:w="765"/>
      </w:tblGrid>
      <w:tr w:rsidR="00F73AD0" w:rsidRPr="00F32B4C" w14:paraId="298BD43A" w14:textId="77777777">
        <w:tc>
          <w:tcPr>
            <w:tcW w:w="3660" w:type="dxa"/>
            <w:tcBorders>
              <w:top w:val="single" w:sz="10" w:space="0" w:color="auto"/>
              <w:left w:val="single" w:sz="10" w:space="0" w:color="auto"/>
            </w:tcBorders>
          </w:tcPr>
          <w:p w14:paraId="21425CD3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1110" w:type="dxa"/>
            <w:tcBorders>
              <w:top w:val="single" w:sz="10" w:space="0" w:color="auto"/>
              <w:left w:val="single" w:sz="5" w:space="0" w:color="auto"/>
            </w:tcBorders>
          </w:tcPr>
          <w:p w14:paraId="09EFC360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4E27009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X</w:t>
            </w:r>
          </w:p>
        </w:tc>
        <w:tc>
          <w:tcPr>
            <w:tcW w:w="930" w:type="dxa"/>
            <w:tcBorders>
              <w:top w:val="single" w:sz="10" w:space="0" w:color="auto"/>
              <w:left w:val="single" w:sz="5" w:space="0" w:color="auto"/>
            </w:tcBorders>
          </w:tcPr>
          <w:p w14:paraId="494F2621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Y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7C76A86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</w:tcBorders>
          </w:tcPr>
          <w:p w14:paraId="6F28B27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  <w:tc>
          <w:tcPr>
            <w:tcW w:w="76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0753811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kryt.</w:t>
            </w:r>
          </w:p>
        </w:tc>
      </w:tr>
      <w:tr w:rsidR="00F73AD0" w:rsidRPr="00F32B4C" w14:paraId="12ABA957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7459877D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29AFBF1F" w14:textId="77777777" w:rsidR="00F73AD0" w:rsidRPr="00F32B4C" w:rsidRDefault="00F73AD0" w:rsidP="00F32B4C">
            <w:pPr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5643D3B7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031DE9F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m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2DA4DA4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stan.r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2856CF2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pręd.w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2556EC15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kier.w</w:t>
            </w:r>
            <w:proofErr w:type="spellEnd"/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  <w:tr w:rsidR="00F73AD0" w:rsidRPr="00F32B4C" w14:paraId="3F1FAFD2" w14:textId="77777777">
        <w:tc>
          <w:tcPr>
            <w:tcW w:w="3660" w:type="dxa"/>
            <w:tcBorders>
              <w:top w:val="single" w:sz="5" w:space="0" w:color="auto"/>
              <w:left w:val="single" w:sz="10" w:space="0" w:color="auto"/>
            </w:tcBorders>
          </w:tcPr>
          <w:p w14:paraId="5E8C1B90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maksymalne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</w:tcBorders>
          </w:tcPr>
          <w:p w14:paraId="400A3C8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63C1D3D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350  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</w:tcBorders>
          </w:tcPr>
          <w:p w14:paraId="1DEA0C5F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280  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36E963BE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</w:tcBorders>
          </w:tcPr>
          <w:p w14:paraId="32A43196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600F1ED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ENE</w:t>
            </w:r>
          </w:p>
        </w:tc>
      </w:tr>
      <w:tr w:rsidR="00F73AD0" w:rsidRPr="00F32B4C" w14:paraId="4D5DB77E" w14:textId="77777777">
        <w:tc>
          <w:tcPr>
            <w:tcW w:w="3660" w:type="dxa"/>
            <w:tcBorders>
              <w:left w:val="single" w:sz="10" w:space="0" w:color="auto"/>
            </w:tcBorders>
          </w:tcPr>
          <w:p w14:paraId="3DA8D338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Stężenie średnioroczne µg/m</w:t>
            </w:r>
            <w:r w:rsidRPr="00F32B4C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</w:tcBorders>
          </w:tcPr>
          <w:p w14:paraId="10BBF39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157BF4EB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400  </w:t>
            </w:r>
          </w:p>
        </w:tc>
        <w:tc>
          <w:tcPr>
            <w:tcW w:w="930" w:type="dxa"/>
            <w:tcBorders>
              <w:left w:val="single" w:sz="5" w:space="0" w:color="auto"/>
            </w:tcBorders>
          </w:tcPr>
          <w:p w14:paraId="4F6F9CC8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 xml:space="preserve">  320  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07DE947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" w:type="dxa"/>
            <w:tcBorders>
              <w:left w:val="single" w:sz="5" w:space="0" w:color="auto"/>
            </w:tcBorders>
          </w:tcPr>
          <w:p w14:paraId="00F1D9E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" w:type="dxa"/>
            <w:tcBorders>
              <w:left w:val="single" w:sz="5" w:space="0" w:color="auto"/>
              <w:right w:val="single" w:sz="10" w:space="0" w:color="auto"/>
            </w:tcBorders>
          </w:tcPr>
          <w:p w14:paraId="5941D38D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WNW</w:t>
            </w:r>
          </w:p>
        </w:tc>
      </w:tr>
      <w:tr w:rsidR="00F73AD0" w:rsidRPr="00F32B4C" w14:paraId="726243E6" w14:textId="77777777">
        <w:tc>
          <w:tcPr>
            <w:tcW w:w="3660" w:type="dxa"/>
            <w:tcBorders>
              <w:left w:val="single" w:sz="10" w:space="0" w:color="auto"/>
              <w:bottom w:val="single" w:sz="10" w:space="0" w:color="auto"/>
            </w:tcBorders>
          </w:tcPr>
          <w:p w14:paraId="1F5537F7" w14:textId="77777777" w:rsidR="00F73AD0" w:rsidRPr="00F32B4C" w:rsidRDefault="006A34B6" w:rsidP="00F32B4C">
            <w:pPr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Częstość przekroczeń - nie dotyczy , brak D1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10" w:space="0" w:color="auto"/>
            </w:tcBorders>
          </w:tcPr>
          <w:p w14:paraId="2350B46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6A24C92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930" w:type="dxa"/>
            <w:tcBorders>
              <w:left w:val="single" w:sz="5" w:space="0" w:color="auto"/>
              <w:bottom w:val="single" w:sz="10" w:space="0" w:color="auto"/>
            </w:tcBorders>
          </w:tcPr>
          <w:p w14:paraId="20469852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4F4E3484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</w:tcBorders>
          </w:tcPr>
          <w:p w14:paraId="064184A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1A8B705C" w14:textId="77777777" w:rsidR="00F73AD0" w:rsidRPr="00F32B4C" w:rsidRDefault="006A34B6" w:rsidP="00F32B4C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F32B4C">
              <w:rPr>
                <w:rFonts w:ascii="Cambria" w:hAnsi="Cambria"/>
                <w:color w:val="000000"/>
                <w:sz w:val="22"/>
                <w:szCs w:val="22"/>
              </w:rPr>
              <w:t>-</w:t>
            </w:r>
          </w:p>
        </w:tc>
      </w:tr>
    </w:tbl>
    <w:p w14:paraId="3ED3BD86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5C1A97F8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jednogodzinnych pyłu zawieszonego PM 2,5 występuje w punkcie o współrzędnych X = 350 Y = 280 m  i wynosi 0,0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0344DA37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p w14:paraId="037430A6" w14:textId="77777777" w:rsidR="00F73AD0" w:rsidRPr="00F32B4C" w:rsidRDefault="006A34B6" w:rsidP="00F32B4C">
      <w:pPr>
        <w:rPr>
          <w:rFonts w:ascii="Cambria" w:hAnsi="Cambria"/>
          <w:sz w:val="22"/>
          <w:szCs w:val="22"/>
        </w:rPr>
      </w:pPr>
      <w:r w:rsidRPr="00F32B4C">
        <w:rPr>
          <w:rFonts w:ascii="Cambria" w:hAnsi="Cambria"/>
          <w:color w:val="000000"/>
          <w:sz w:val="22"/>
          <w:szCs w:val="22"/>
        </w:rPr>
        <w:t>Najwyższa wartość stężeń średniorocznych występuje w punkcie o współrzędnych X = 400 Y = 320 m , wynosi 0,000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 xml:space="preserve"> i nie przekracza wartości dyspozycyjnej (D</w:t>
      </w:r>
      <w:r w:rsidRPr="00F32B4C">
        <w:rPr>
          <w:rFonts w:ascii="Cambria" w:hAnsi="Cambria"/>
          <w:color w:val="000000"/>
          <w:sz w:val="22"/>
          <w:szCs w:val="22"/>
          <w:vertAlign w:val="subscript"/>
        </w:rPr>
        <w:t>a</w:t>
      </w:r>
      <w:r w:rsidRPr="00F32B4C">
        <w:rPr>
          <w:rFonts w:ascii="Cambria" w:hAnsi="Cambria"/>
          <w:color w:val="000000"/>
          <w:sz w:val="22"/>
          <w:szCs w:val="22"/>
        </w:rPr>
        <w:t>-R)= 18 µg/m</w:t>
      </w:r>
      <w:r w:rsidRPr="00F32B4C">
        <w:rPr>
          <w:rFonts w:ascii="Cambria" w:hAnsi="Cambria"/>
          <w:color w:val="000000"/>
          <w:sz w:val="22"/>
          <w:szCs w:val="22"/>
          <w:vertAlign w:val="superscript"/>
        </w:rPr>
        <w:t>3</w:t>
      </w:r>
      <w:r w:rsidRPr="00F32B4C">
        <w:rPr>
          <w:rFonts w:ascii="Cambria" w:hAnsi="Cambria"/>
          <w:color w:val="000000"/>
          <w:sz w:val="22"/>
          <w:szCs w:val="22"/>
        </w:rPr>
        <w:t>.</w:t>
      </w:r>
    </w:p>
    <w:p w14:paraId="1B7AFA6B" w14:textId="77777777" w:rsidR="00F73AD0" w:rsidRPr="00F32B4C" w:rsidRDefault="00F73AD0" w:rsidP="00F32B4C">
      <w:pPr>
        <w:rPr>
          <w:rFonts w:ascii="Cambria" w:hAnsi="Cambria"/>
          <w:color w:val="000000"/>
          <w:sz w:val="22"/>
          <w:szCs w:val="22"/>
        </w:rPr>
      </w:pPr>
    </w:p>
    <w:sectPr w:rsidR="00F73AD0" w:rsidRPr="00F32B4C">
      <w:headerReference w:type="default" r:id="rId6"/>
      <w:footerReference w:type="default" r:id="rId7"/>
      <w:type w:val="continuous"/>
      <w:pgSz w:w="11906" w:h="16838"/>
      <w:pgMar w:top="850" w:right="567" w:bottom="567" w:left="73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AB0A4" w14:textId="77777777" w:rsidR="003C74F6" w:rsidRDefault="003C74F6">
      <w:r>
        <w:separator/>
      </w:r>
    </w:p>
  </w:endnote>
  <w:endnote w:type="continuationSeparator" w:id="0">
    <w:p w14:paraId="69BCEB28" w14:textId="77777777" w:rsidR="003C74F6" w:rsidRDefault="003C7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43F89" w14:textId="77777777" w:rsidR="00F73AD0" w:rsidRDefault="00F73A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3861A" w14:textId="77777777" w:rsidR="003C74F6" w:rsidRDefault="003C74F6">
      <w:r>
        <w:separator/>
      </w:r>
    </w:p>
  </w:footnote>
  <w:footnote w:type="continuationSeparator" w:id="0">
    <w:p w14:paraId="68EB2B99" w14:textId="77777777" w:rsidR="003C74F6" w:rsidRDefault="003C7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ABCC1" w14:textId="329D1758" w:rsidR="00F73AD0" w:rsidRDefault="006A34B6">
    <w:pPr>
      <w:jc w:val="center"/>
    </w:pPr>
    <w:r>
      <w:fldChar w:fldCharType="begin"/>
    </w:r>
    <w:r>
      <w:instrText>PAGE</w:instrText>
    </w:r>
    <w:r>
      <w:fldChar w:fldCharType="separate"/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3</w:t>
    </w:r>
    <w:r>
      <w:rPr>
        <w:color w:val="000000"/>
      </w:rP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AD0"/>
    <w:rsid w:val="003506E4"/>
    <w:rsid w:val="003C74F6"/>
    <w:rsid w:val="006A34B6"/>
    <w:rsid w:val="007B3CD7"/>
    <w:rsid w:val="00F32B4C"/>
    <w:rsid w:val="00F7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A67C"/>
  <w15:docId w15:val="{98B3236B-3491-4900-8F7C-18C682BE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4923</Characters>
  <Application>Microsoft Office Word</Application>
  <DocSecurity>0</DocSecurity>
  <Lines>41</Lines>
  <Paragraphs>11</Paragraphs>
  <ScaleCrop>false</ScaleCrop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Kozicki</cp:lastModifiedBy>
  <cp:revision>3</cp:revision>
  <dcterms:created xsi:type="dcterms:W3CDTF">2024-12-18T21:16:00Z</dcterms:created>
  <dcterms:modified xsi:type="dcterms:W3CDTF">2024-12-29T10:20:00Z</dcterms:modified>
</cp:coreProperties>
</file>